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89" w:rsidRPr="00C05AAF" w:rsidRDefault="00C32B89" w:rsidP="000C3BC0">
      <w:pPr>
        <w:pStyle w:val="Nadpis3"/>
        <w:rPr>
          <w:sz w:val="24"/>
        </w:rPr>
      </w:pPr>
      <w:bookmarkStart w:id="0" w:name="_GoBack"/>
      <w:bookmarkEnd w:id="0"/>
      <w:r w:rsidRPr="0084004A">
        <w:rPr>
          <w:sz w:val="24"/>
        </w:rPr>
        <w:t xml:space="preserve">Výrobek:                                                      </w:t>
      </w:r>
      <w:r w:rsidR="00C05AAF">
        <w:rPr>
          <w:sz w:val="24"/>
        </w:rPr>
        <w:t xml:space="preserve">                      </w:t>
      </w:r>
      <w:r>
        <w:rPr>
          <w:color w:val="00B0F0"/>
          <w:sz w:val="24"/>
        </w:rPr>
        <w:t>Datum aktualizace</w:t>
      </w:r>
      <w:r w:rsidRPr="000C3BC0">
        <w:rPr>
          <w:color w:val="00B0F0"/>
          <w:sz w:val="24"/>
        </w:rPr>
        <w:t xml:space="preserve">: </w:t>
      </w:r>
      <w:r w:rsidR="00C05AAF">
        <w:rPr>
          <w:sz w:val="24"/>
        </w:rPr>
        <w:t>28.11.2016</w:t>
      </w:r>
    </w:p>
    <w:p w:rsidR="00C32B89" w:rsidRPr="001D2BAF" w:rsidRDefault="00C32B89" w:rsidP="001D2BAF"/>
    <w:p w:rsidR="00C32B89" w:rsidRDefault="003B0F5F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>Vodní sklo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5A0E5A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3B0F5F" w:rsidRPr="003B0F5F" w:rsidRDefault="003B0F5F" w:rsidP="003B0F5F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Vodný roztok křemičitanu sodného</w:t>
      </w:r>
      <w:r w:rsidRPr="003B0F5F">
        <w:rPr>
          <w:sz w:val="18"/>
          <w:szCs w:val="18"/>
        </w:rPr>
        <w:t xml:space="preserve"> 36-38</w:t>
      </w:r>
      <w:r w:rsidR="00C05AAF">
        <w:rPr>
          <w:sz w:val="18"/>
          <w:szCs w:val="18"/>
        </w:rPr>
        <w:t xml:space="preserve"> </w:t>
      </w:r>
      <w:r>
        <w:rPr>
          <w:sz w:val="18"/>
          <w:szCs w:val="18"/>
        </w:rPr>
        <w:t>% hm.</w:t>
      </w:r>
      <w:r w:rsidRPr="003B0F5F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křemičitá kyselina,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sodná sůl</w:t>
      </w:r>
      <w:r w:rsidR="00C05AAF">
        <w:rPr>
          <w:sz w:val="18"/>
          <w:szCs w:val="18"/>
        </w:rPr>
        <w:t>.</w:t>
      </w:r>
    </w:p>
    <w:p w:rsidR="003B0F5F" w:rsidRPr="003B0F5F" w:rsidRDefault="003B0F5F" w:rsidP="003B0F5F">
      <w:pPr>
        <w:pStyle w:val="Zkladntext"/>
        <w:rPr>
          <w:sz w:val="18"/>
          <w:szCs w:val="18"/>
        </w:rPr>
      </w:pPr>
      <w:r w:rsidRPr="003B0F5F">
        <w:rPr>
          <w:sz w:val="18"/>
          <w:szCs w:val="18"/>
        </w:rPr>
        <w:t xml:space="preserve">                          </w:t>
      </w:r>
    </w:p>
    <w:p w:rsidR="003B0F5F" w:rsidRPr="003B0F5F" w:rsidRDefault="003B0F5F" w:rsidP="003B0F5F">
      <w:pPr>
        <w:pStyle w:val="Zkladntext"/>
        <w:rPr>
          <w:sz w:val="18"/>
          <w:szCs w:val="18"/>
        </w:rPr>
      </w:pPr>
      <w:r w:rsidRPr="003B0F5F">
        <w:rPr>
          <w:sz w:val="18"/>
          <w:szCs w:val="18"/>
        </w:rPr>
        <w:t xml:space="preserve">Hustota                       </w:t>
      </w: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ab/>
      </w:r>
      <w:r w:rsidRPr="003B0F5F">
        <w:rPr>
          <w:sz w:val="18"/>
          <w:szCs w:val="18"/>
        </w:rPr>
        <w:t>1328-1352 kg/m</w:t>
      </w:r>
      <w:r w:rsidRPr="003B0F5F">
        <w:rPr>
          <w:sz w:val="18"/>
          <w:szCs w:val="18"/>
          <w:vertAlign w:val="superscript"/>
        </w:rPr>
        <w:t>3</w:t>
      </w:r>
    </w:p>
    <w:p w:rsidR="003B0F5F" w:rsidRPr="003B0F5F" w:rsidRDefault="003B0F5F" w:rsidP="003B0F5F">
      <w:pPr>
        <w:pStyle w:val="Zkladntext"/>
        <w:rPr>
          <w:sz w:val="18"/>
          <w:szCs w:val="18"/>
        </w:rPr>
      </w:pPr>
      <w:r w:rsidRPr="003B0F5F">
        <w:rPr>
          <w:sz w:val="18"/>
          <w:szCs w:val="18"/>
        </w:rPr>
        <w:t>Molární poměr SiO</w:t>
      </w:r>
      <w:r w:rsidRPr="003B0F5F">
        <w:rPr>
          <w:sz w:val="18"/>
          <w:szCs w:val="18"/>
          <w:vertAlign w:val="subscript"/>
        </w:rPr>
        <w:t>2</w:t>
      </w:r>
      <w:r w:rsidRPr="003B0F5F">
        <w:rPr>
          <w:sz w:val="18"/>
          <w:szCs w:val="18"/>
        </w:rPr>
        <w:t>/Na</w:t>
      </w:r>
      <w:r w:rsidRPr="003B0F5F">
        <w:rPr>
          <w:sz w:val="18"/>
          <w:szCs w:val="18"/>
          <w:vertAlign w:val="subscript"/>
        </w:rPr>
        <w:t>2</w:t>
      </w:r>
      <w:r w:rsidRPr="003B0F5F">
        <w:rPr>
          <w:sz w:val="18"/>
          <w:szCs w:val="18"/>
        </w:rPr>
        <w:t xml:space="preserve">O                        </w:t>
      </w:r>
      <w:r>
        <w:rPr>
          <w:sz w:val="18"/>
          <w:szCs w:val="18"/>
        </w:rPr>
        <w:tab/>
      </w:r>
      <w:r w:rsidRPr="003B0F5F">
        <w:rPr>
          <w:sz w:val="18"/>
          <w:szCs w:val="18"/>
        </w:rPr>
        <w:t xml:space="preserve">3,2 -3,5 </w:t>
      </w:r>
    </w:p>
    <w:p w:rsidR="0003745B" w:rsidRPr="005A0E5A" w:rsidRDefault="0003745B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jc w:val="both"/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Odstíny:</w:t>
      </w:r>
    </w:p>
    <w:p w:rsidR="003B0F5F" w:rsidRPr="003B0F5F" w:rsidRDefault="003B0F5F" w:rsidP="003B0F5F">
      <w:pPr>
        <w:pStyle w:val="Zkladntext"/>
        <w:rPr>
          <w:bCs/>
          <w:iCs/>
          <w:sz w:val="18"/>
          <w:szCs w:val="18"/>
        </w:rPr>
      </w:pPr>
      <w:r w:rsidRPr="003B0F5F">
        <w:rPr>
          <w:bCs/>
          <w:iCs/>
          <w:sz w:val="18"/>
          <w:szCs w:val="18"/>
        </w:rPr>
        <w:t>Našedlá až načervenalá kapalina</w:t>
      </w:r>
      <w:r w:rsidR="00C05AAF">
        <w:rPr>
          <w:bCs/>
          <w:iCs/>
          <w:sz w:val="18"/>
          <w:szCs w:val="18"/>
        </w:rPr>
        <w:t>.</w:t>
      </w:r>
    </w:p>
    <w:p w:rsidR="00394661" w:rsidRPr="005A0E5A" w:rsidRDefault="00394661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pStyle w:val="Zkladntext"/>
        <w:rPr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3B0F5F" w:rsidRPr="003B0F5F" w:rsidRDefault="003B0F5F" w:rsidP="00C05AAF">
      <w:p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</w:t>
      </w:r>
      <w:r w:rsidRPr="003B0F5F">
        <w:rPr>
          <w:rFonts w:ascii="Arial" w:hAnsi="Arial" w:cs="Arial"/>
          <w:bCs/>
          <w:iCs/>
          <w:sz w:val="18"/>
          <w:szCs w:val="18"/>
        </w:rPr>
        <w:t>ako základní pojivo pro namíchání šamotové lepící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3B0F5F">
        <w:rPr>
          <w:rFonts w:ascii="Arial" w:hAnsi="Arial" w:cs="Arial"/>
          <w:bCs/>
          <w:iCs/>
          <w:sz w:val="18"/>
          <w:szCs w:val="18"/>
        </w:rPr>
        <w:t>malty pro stavbu, vlepování šamotových prvku a opravy kamen,</w:t>
      </w:r>
    </w:p>
    <w:p w:rsidR="0003745B" w:rsidRDefault="003B0F5F" w:rsidP="00C05AAF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>krbu a ostatních druhu topenišť</w:t>
      </w:r>
      <w:r>
        <w:rPr>
          <w:rFonts w:ascii="Arial" w:hAnsi="Arial" w:cs="Arial"/>
          <w:bCs/>
          <w:iCs/>
          <w:sz w:val="18"/>
          <w:szCs w:val="18"/>
        </w:rPr>
        <w:t>.</w:t>
      </w:r>
    </w:p>
    <w:p w:rsidR="003B0F5F" w:rsidRPr="005A0E5A" w:rsidRDefault="003B0F5F" w:rsidP="003B0F5F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3B0F5F" w:rsidP="005B01EF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Dávkování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F25475" w:rsidRPr="00F25475" w:rsidRDefault="003B0F5F" w:rsidP="003B0F5F">
      <w:pPr>
        <w:pStyle w:val="Zkladntext"/>
        <w:rPr>
          <w:sz w:val="18"/>
          <w:szCs w:val="18"/>
        </w:rPr>
      </w:pPr>
      <w:r w:rsidRPr="003B0F5F">
        <w:rPr>
          <w:sz w:val="18"/>
          <w:szCs w:val="18"/>
        </w:rPr>
        <w:t>Namíchání šamotové malty 1 kg = roztok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0,1 l vodního skla + 0,1 l vody. Šamotovou výmazovou hmotu si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vysypeme do nádoby a zalijeme připraveným roztokem, dobře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promícháme a necháme cca 3 min. odležet. Následně lehce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promícháme a malta je připravena k použití. Jako příměs</w:t>
      </w:r>
      <w:r>
        <w:rPr>
          <w:sz w:val="18"/>
          <w:szCs w:val="18"/>
        </w:rPr>
        <w:t xml:space="preserve"> </w:t>
      </w:r>
      <w:r w:rsidRPr="003B0F5F">
        <w:rPr>
          <w:sz w:val="18"/>
          <w:szCs w:val="18"/>
        </w:rPr>
        <w:t>do maltových směsí k ochraně proti zmrznutí.</w:t>
      </w:r>
    </w:p>
    <w:p w:rsidR="0003745B" w:rsidRPr="005A0E5A" w:rsidRDefault="0003745B" w:rsidP="0003745B">
      <w:pPr>
        <w:pStyle w:val="Zkladntext"/>
        <w:jc w:val="left"/>
        <w:rPr>
          <w:b/>
          <w:bCs/>
          <w:sz w:val="18"/>
          <w:szCs w:val="18"/>
        </w:rPr>
      </w:pPr>
    </w:p>
    <w:p w:rsidR="00C32B89" w:rsidRPr="005A0E5A" w:rsidRDefault="003B0F5F" w:rsidP="0009631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Skladování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F25475" w:rsidRDefault="003B0F5F" w:rsidP="0003745B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Skladujte při teplotě </w:t>
      </w:r>
      <w:r w:rsidRPr="003B0F5F">
        <w:rPr>
          <w:sz w:val="18"/>
          <w:szCs w:val="18"/>
        </w:rPr>
        <w:t>+5 až + 25 °C. Chraňte před mrazem!</w:t>
      </w:r>
    </w:p>
    <w:p w:rsidR="003B0F5F" w:rsidRPr="005A0E5A" w:rsidRDefault="003B0F5F" w:rsidP="0003745B">
      <w:pPr>
        <w:pStyle w:val="Zkladntext"/>
        <w:rPr>
          <w:sz w:val="18"/>
          <w:szCs w:val="18"/>
        </w:rPr>
      </w:pPr>
    </w:p>
    <w:p w:rsidR="00F25475" w:rsidRPr="005A0E5A" w:rsidRDefault="00F25475" w:rsidP="00F25475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Doba spotřeby</w:t>
      </w: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F25475" w:rsidRDefault="003B0F5F" w:rsidP="00F25475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>24 měsíců od data plnění uvedeného na obalu</w:t>
      </w:r>
      <w:r w:rsidR="00C05AAF">
        <w:rPr>
          <w:rFonts w:ascii="Arial" w:hAnsi="Arial" w:cs="Arial"/>
          <w:bCs/>
          <w:iCs/>
          <w:sz w:val="18"/>
          <w:szCs w:val="18"/>
        </w:rPr>
        <w:t>.</w:t>
      </w:r>
    </w:p>
    <w:p w:rsidR="005A0E5A" w:rsidRPr="005A0E5A" w:rsidRDefault="005A0E5A" w:rsidP="00B3428C">
      <w:pPr>
        <w:pStyle w:val="Zkladntext"/>
        <w:rPr>
          <w:sz w:val="18"/>
          <w:szCs w:val="18"/>
        </w:rPr>
      </w:pPr>
    </w:p>
    <w:p w:rsidR="005A0E5A" w:rsidRPr="005A0E5A" w:rsidRDefault="005A0E5A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Likvidace odpadů a obalů:</w:t>
      </w:r>
    </w:p>
    <w:p w:rsidR="00C32B89" w:rsidRDefault="008E3263" w:rsidP="008E3263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Nesmí se zneškodňovat společně s komunálními odpady. Nevylévat do kanalizace. Použitý, řádně vyprázdněný a vymytý obal odevzdat na sběrné místo pro obalové odpady. Nepoužitý přípravek nebo obal se zbytky výrobku odnést na místo určené obcí k odkládání nebezpečných odpadů nebo předat osobě oprávněné k nakládání s nebezpečnými odpady</w:t>
      </w:r>
      <w:r w:rsidR="00C05AAF">
        <w:rPr>
          <w:sz w:val="18"/>
          <w:szCs w:val="18"/>
        </w:rPr>
        <w:t>.</w:t>
      </w:r>
    </w:p>
    <w:p w:rsidR="005A0E5A" w:rsidRPr="005A0E5A" w:rsidRDefault="005A0E5A" w:rsidP="008E3263">
      <w:pPr>
        <w:pStyle w:val="Zkladntext"/>
        <w:rPr>
          <w:sz w:val="18"/>
          <w:szCs w:val="18"/>
        </w:rPr>
      </w:pPr>
    </w:p>
    <w:p w:rsidR="00C32B89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F25475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p w:rsidR="003B0F5F" w:rsidRPr="003B0F5F" w:rsidRDefault="003B0F5F" w:rsidP="003B0F5F">
      <w:pPr>
        <w:rPr>
          <w:rFonts w:ascii="Arial" w:hAnsi="Arial" w:cs="Arial"/>
          <w:b/>
          <w:bCs/>
          <w:iCs/>
          <w:sz w:val="18"/>
          <w:szCs w:val="18"/>
        </w:rPr>
      </w:pPr>
      <w:r w:rsidRPr="003B0F5F">
        <w:rPr>
          <w:rFonts w:ascii="Arial" w:hAnsi="Arial" w:cs="Arial"/>
          <w:b/>
          <w:bCs/>
          <w:iCs/>
          <w:sz w:val="18"/>
          <w:szCs w:val="18"/>
        </w:rPr>
        <w:t xml:space="preserve">Při vdechnutí                                                                                                                                        </w:t>
      </w:r>
    </w:p>
    <w:p w:rsidR="003B0F5F" w:rsidRPr="003B0F5F" w:rsidRDefault="003B0F5F" w:rsidP="003B0F5F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 xml:space="preserve">Postiženou osobu přesuňte na čerstvý vzduch; udržujte ji v teple; v případě zástavy dechu zavést umělé dýchání; vyhledejte lékařskou pomoc.          </w:t>
      </w:r>
    </w:p>
    <w:p w:rsidR="003B0F5F" w:rsidRPr="003B0F5F" w:rsidRDefault="003B0F5F" w:rsidP="003B0F5F">
      <w:pPr>
        <w:rPr>
          <w:rFonts w:ascii="Arial" w:hAnsi="Arial" w:cs="Arial"/>
          <w:b/>
          <w:bCs/>
          <w:iCs/>
          <w:sz w:val="18"/>
          <w:szCs w:val="18"/>
        </w:rPr>
      </w:pPr>
      <w:r w:rsidRPr="003B0F5F">
        <w:rPr>
          <w:rFonts w:ascii="Arial" w:hAnsi="Arial" w:cs="Arial"/>
          <w:b/>
          <w:bCs/>
          <w:iCs/>
          <w:sz w:val="18"/>
          <w:szCs w:val="18"/>
        </w:rPr>
        <w:t xml:space="preserve">Při styku s kůží                                                                                                                                     </w:t>
      </w:r>
    </w:p>
    <w:p w:rsidR="003B0F5F" w:rsidRPr="003B0F5F" w:rsidRDefault="003B0F5F" w:rsidP="003B0F5F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 xml:space="preserve">Ihned odstraňte kontaminovaný oděv a postižené místa omyjte velkým množstvím vody.                                                                   </w:t>
      </w:r>
    </w:p>
    <w:p w:rsidR="003B0F5F" w:rsidRPr="003B0F5F" w:rsidRDefault="003B0F5F" w:rsidP="003B0F5F">
      <w:pPr>
        <w:rPr>
          <w:rFonts w:ascii="Arial" w:hAnsi="Arial" w:cs="Arial"/>
          <w:b/>
          <w:bCs/>
          <w:iCs/>
          <w:sz w:val="18"/>
          <w:szCs w:val="18"/>
        </w:rPr>
      </w:pPr>
      <w:r w:rsidRPr="003B0F5F">
        <w:rPr>
          <w:rFonts w:ascii="Arial" w:hAnsi="Arial" w:cs="Arial"/>
          <w:b/>
          <w:bCs/>
          <w:iCs/>
          <w:sz w:val="18"/>
          <w:szCs w:val="18"/>
        </w:rPr>
        <w:t xml:space="preserve">Při zasažení očí                                                                                                                                     </w:t>
      </w:r>
    </w:p>
    <w:p w:rsidR="003B0F5F" w:rsidRPr="003B0F5F" w:rsidRDefault="003B0F5F" w:rsidP="003B0F5F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>Vyjměte kontaktní čočky. Hojně proplachujte čistou sladkou vodou po dobu nejméně 15 minut, přičemž víčka držte od sebe, a vyhledejte lékařskou pomoc.</w:t>
      </w:r>
    </w:p>
    <w:p w:rsidR="003B0F5F" w:rsidRPr="003B0F5F" w:rsidRDefault="003B0F5F" w:rsidP="003B0F5F">
      <w:pPr>
        <w:rPr>
          <w:rFonts w:ascii="Arial" w:hAnsi="Arial" w:cs="Arial"/>
          <w:b/>
          <w:bCs/>
          <w:iCs/>
          <w:sz w:val="18"/>
          <w:szCs w:val="18"/>
        </w:rPr>
      </w:pPr>
      <w:r w:rsidRPr="003B0F5F">
        <w:rPr>
          <w:rFonts w:ascii="Arial" w:hAnsi="Arial" w:cs="Arial"/>
          <w:b/>
          <w:bCs/>
          <w:iCs/>
          <w:sz w:val="18"/>
          <w:szCs w:val="18"/>
        </w:rPr>
        <w:t xml:space="preserve">Při požití                                                                                                                                           </w:t>
      </w:r>
    </w:p>
    <w:p w:rsidR="00C05AAF" w:rsidRDefault="003B0F5F" w:rsidP="003B0F5F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 xml:space="preserve">Vypláchněte ústa vodou, vypijte velké množství vody. Nevyvolávejte zvracení!         </w:t>
      </w:r>
    </w:p>
    <w:p w:rsidR="003B0F5F" w:rsidRPr="003B0F5F" w:rsidRDefault="003B0F5F" w:rsidP="003B0F5F">
      <w:pPr>
        <w:rPr>
          <w:rFonts w:ascii="Arial" w:hAnsi="Arial" w:cs="Arial"/>
          <w:bCs/>
          <w:iCs/>
          <w:sz w:val="18"/>
          <w:szCs w:val="18"/>
        </w:rPr>
      </w:pPr>
      <w:r w:rsidRPr="003B0F5F">
        <w:rPr>
          <w:rFonts w:ascii="Arial" w:hAnsi="Arial" w:cs="Arial"/>
          <w:bCs/>
          <w:iCs/>
          <w:sz w:val="18"/>
          <w:szCs w:val="18"/>
        </w:rPr>
        <w:t xml:space="preserve">                                                                </w:t>
      </w: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C32B89" w:rsidRDefault="00C32B89" w:rsidP="00B3428C">
      <w:pPr>
        <w:pStyle w:val="Zkladntext"/>
        <w:ind w:left="1410" w:hanging="1410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</w:tblGrid>
      <w:tr w:rsidR="003B0F5F" w:rsidRPr="003B0F5F">
        <w:trPr>
          <w:trHeight w:val="12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5F" w:rsidRPr="003B0F5F" w:rsidRDefault="003B0F5F" w:rsidP="003B0F5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2"/>
                <w:szCs w:val="2"/>
              </w:rPr>
            </w:pPr>
            <w:r w:rsidRPr="003B0F5F">
              <w:rPr>
                <w:rFonts w:ascii="Verdana" w:eastAsia="Calibri" w:hAnsi="Verdana" w:cs="Verdana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62000" cy="7620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F5F" w:rsidRPr="003B0F5F" w:rsidRDefault="003B0F5F" w:rsidP="003B0F5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2"/>
                <w:szCs w:val="2"/>
              </w:rPr>
            </w:pPr>
            <w:r w:rsidRPr="003B0F5F">
              <w:rPr>
                <w:rFonts w:ascii="Verdana" w:eastAsia="Calibri" w:hAnsi="Verdana" w:cs="Verdana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753745" cy="762000"/>
                  <wp:effectExtent l="0" t="0" r="825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475" w:rsidRDefault="00F25475" w:rsidP="003B0F5F">
      <w:pPr>
        <w:pStyle w:val="Zkladntext"/>
        <w:rPr>
          <w:sz w:val="16"/>
          <w:szCs w:val="16"/>
        </w:rPr>
      </w:pPr>
    </w:p>
    <w:p w:rsidR="00F25475" w:rsidRPr="00F25475" w:rsidRDefault="00F25475" w:rsidP="00B3428C">
      <w:pPr>
        <w:pStyle w:val="Zkladntext"/>
        <w:ind w:left="1410" w:hanging="1410"/>
        <w:rPr>
          <w:b/>
          <w:sz w:val="18"/>
          <w:szCs w:val="16"/>
        </w:rPr>
      </w:pPr>
      <w:r w:rsidRPr="00F25475">
        <w:rPr>
          <w:b/>
          <w:sz w:val="18"/>
          <w:szCs w:val="16"/>
        </w:rPr>
        <w:t>Klasifikace:</w:t>
      </w:r>
    </w:p>
    <w:p w:rsidR="003B0F5F" w:rsidRP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>Skin Irrit. 2, H315</w:t>
      </w:r>
    </w:p>
    <w:p w:rsidR="00F25475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>Eye Irrit. 2, H319</w:t>
      </w:r>
    </w:p>
    <w:p w:rsidR="003B0F5F" w:rsidRPr="00F25475" w:rsidRDefault="003B0F5F" w:rsidP="003B0F5F">
      <w:pPr>
        <w:pStyle w:val="Zkladntext"/>
        <w:ind w:left="1410" w:hanging="1410"/>
        <w:rPr>
          <w:sz w:val="18"/>
          <w:szCs w:val="16"/>
        </w:rPr>
      </w:pPr>
    </w:p>
    <w:p w:rsidR="00F25475" w:rsidRPr="00F25475" w:rsidRDefault="00F25475" w:rsidP="00F25475">
      <w:pPr>
        <w:pStyle w:val="Zkladntext"/>
        <w:ind w:left="1410" w:hanging="1410"/>
        <w:rPr>
          <w:b/>
          <w:sz w:val="18"/>
          <w:szCs w:val="16"/>
        </w:rPr>
      </w:pPr>
      <w:r w:rsidRPr="00F25475">
        <w:rPr>
          <w:b/>
          <w:sz w:val="18"/>
          <w:szCs w:val="16"/>
        </w:rPr>
        <w:t>Standardní věty o nebezpečnosti</w:t>
      </w:r>
    </w:p>
    <w:p w:rsidR="003B0F5F" w:rsidRP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>H315</w:t>
      </w:r>
      <w:r w:rsidRPr="003B0F5F">
        <w:rPr>
          <w:sz w:val="18"/>
          <w:szCs w:val="16"/>
        </w:rPr>
        <w:tab/>
        <w:t xml:space="preserve">Dráždí kůži.                   </w:t>
      </w:r>
    </w:p>
    <w:p w:rsidR="00F25475" w:rsidRPr="00F25475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>H319</w:t>
      </w:r>
      <w:r w:rsidRPr="003B0F5F">
        <w:rPr>
          <w:sz w:val="18"/>
          <w:szCs w:val="16"/>
        </w:rPr>
        <w:tab/>
        <w:t>Způsobuje vážné podráždění očí.</w:t>
      </w:r>
    </w:p>
    <w:p w:rsidR="00F25475" w:rsidRPr="00F25475" w:rsidRDefault="00F25475" w:rsidP="00F25475">
      <w:pPr>
        <w:pStyle w:val="Zkladntext"/>
        <w:ind w:left="1410" w:hanging="1410"/>
        <w:rPr>
          <w:b/>
          <w:sz w:val="18"/>
          <w:szCs w:val="16"/>
        </w:rPr>
      </w:pPr>
      <w:r w:rsidRPr="00F25475">
        <w:rPr>
          <w:b/>
          <w:sz w:val="18"/>
          <w:szCs w:val="16"/>
        </w:rPr>
        <w:t>Pokyny pro bezpečné zacházení</w:t>
      </w:r>
    </w:p>
    <w:p w:rsidR="003B0F5F" w:rsidRP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 xml:space="preserve">P102          </w:t>
      </w:r>
      <w:r w:rsidRPr="003B0F5F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3B0F5F">
        <w:rPr>
          <w:sz w:val="18"/>
          <w:szCs w:val="16"/>
        </w:rPr>
        <w:t xml:space="preserve">Uchovávejte mimo dosah dětí.                                                                                                                                   </w:t>
      </w:r>
    </w:p>
    <w:p w:rsidR="003B0F5F" w:rsidRP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 xml:space="preserve">P262          </w:t>
      </w:r>
      <w:r w:rsidRPr="003B0F5F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3B0F5F">
        <w:rPr>
          <w:sz w:val="18"/>
          <w:szCs w:val="16"/>
        </w:rPr>
        <w:t xml:space="preserve">Zabraňte styku s očima, kůží nebo oděvem.                                                                                                                      </w:t>
      </w:r>
    </w:p>
    <w:p w:rsidR="003B0F5F" w:rsidRP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 xml:space="preserve">P280          </w:t>
      </w:r>
      <w:r w:rsidRPr="003B0F5F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3B0F5F">
        <w:rPr>
          <w:sz w:val="18"/>
          <w:szCs w:val="16"/>
        </w:rPr>
        <w:t xml:space="preserve">Používejte ochranné rukavice/ochranný oděv/ochranné brýle/obličejový štít.                                                                                     </w:t>
      </w:r>
    </w:p>
    <w:p w:rsidR="003B0F5F" w:rsidRPr="003B0F5F" w:rsidRDefault="003B0F5F" w:rsidP="003B0F5F">
      <w:pPr>
        <w:pStyle w:val="Zkladntext"/>
        <w:ind w:left="2120" w:hanging="2120"/>
        <w:rPr>
          <w:sz w:val="18"/>
          <w:szCs w:val="16"/>
        </w:rPr>
      </w:pPr>
      <w:r w:rsidRPr="003B0F5F">
        <w:rPr>
          <w:sz w:val="18"/>
          <w:szCs w:val="16"/>
        </w:rPr>
        <w:t>P303+P361+P353</w:t>
      </w:r>
      <w:r w:rsidRPr="003B0F5F">
        <w:rPr>
          <w:sz w:val="18"/>
          <w:szCs w:val="16"/>
        </w:rPr>
        <w:tab/>
        <w:t xml:space="preserve">PŘI STYKU S KŮŽÍ (nebo s vlasy): Veškeré kontaminované části oděvu okamžitě svlékněte. Opláchněte kůži vodou/osprchujte.                                       </w:t>
      </w:r>
    </w:p>
    <w:p w:rsidR="003B0F5F" w:rsidRPr="003B0F5F" w:rsidRDefault="003B0F5F" w:rsidP="003B0F5F">
      <w:pPr>
        <w:pStyle w:val="Zkladntext"/>
        <w:ind w:left="2120" w:hanging="2120"/>
        <w:jc w:val="left"/>
        <w:rPr>
          <w:sz w:val="18"/>
          <w:szCs w:val="16"/>
        </w:rPr>
      </w:pPr>
      <w:r w:rsidRPr="003B0F5F">
        <w:rPr>
          <w:sz w:val="18"/>
          <w:szCs w:val="16"/>
        </w:rPr>
        <w:t>P305+P351+P338</w:t>
      </w:r>
      <w:r w:rsidRPr="003B0F5F">
        <w:rPr>
          <w:sz w:val="18"/>
          <w:szCs w:val="16"/>
        </w:rPr>
        <w:tab/>
        <w:t>PŘI ZASAŽENÍ OČÍ: Několik minut opatrně vyplachujte vodou. Vyjměte kontaktní čočky, jsou-li nasazeny a pokud je lze vyjmout snadno. Pokračujte ve vyplachování.</w:t>
      </w:r>
    </w:p>
    <w:p w:rsidR="003B0F5F" w:rsidRPr="003B0F5F" w:rsidRDefault="003B0F5F" w:rsidP="003B0F5F">
      <w:pPr>
        <w:pStyle w:val="Zkladntext"/>
        <w:ind w:left="2120" w:hanging="2120"/>
        <w:jc w:val="left"/>
        <w:rPr>
          <w:sz w:val="18"/>
          <w:szCs w:val="16"/>
        </w:rPr>
      </w:pPr>
      <w:r w:rsidRPr="003B0F5F">
        <w:rPr>
          <w:sz w:val="18"/>
          <w:szCs w:val="16"/>
        </w:rPr>
        <w:t xml:space="preserve">P308+P311     </w:t>
      </w:r>
      <w:r w:rsidRPr="003B0F5F"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3B0F5F">
        <w:rPr>
          <w:sz w:val="18"/>
          <w:szCs w:val="16"/>
        </w:rPr>
        <w:t xml:space="preserve">PŘI expozici nebo podezření na ni: Volejte TOXIKOLOGICKÉ INFORMAČNÍ STŘEDISKO/lékaře.                                                                          </w:t>
      </w:r>
    </w:p>
    <w:p w:rsidR="003B0F5F" w:rsidRDefault="003B0F5F" w:rsidP="003B0F5F">
      <w:pPr>
        <w:pStyle w:val="Zkladntext"/>
        <w:ind w:left="1410" w:hanging="1410"/>
        <w:rPr>
          <w:sz w:val="18"/>
          <w:szCs w:val="16"/>
        </w:rPr>
      </w:pPr>
      <w:r w:rsidRPr="003B0F5F">
        <w:rPr>
          <w:sz w:val="18"/>
          <w:szCs w:val="16"/>
        </w:rPr>
        <w:t xml:space="preserve">P501          </w:t>
      </w:r>
      <w:r w:rsidRPr="003B0F5F"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Pr="003B0F5F">
        <w:rPr>
          <w:sz w:val="18"/>
          <w:szCs w:val="16"/>
        </w:rPr>
        <w:t xml:space="preserve">Odstraňte obsah/obal v souladu s místními předpisy jako nebezpečný odpad.                                                                             </w:t>
      </w:r>
    </w:p>
    <w:p w:rsidR="003B0F5F" w:rsidRDefault="003B0F5F" w:rsidP="00F25475">
      <w:pPr>
        <w:pStyle w:val="Zkladntext"/>
        <w:ind w:left="1410" w:hanging="1410"/>
        <w:rPr>
          <w:sz w:val="18"/>
          <w:szCs w:val="16"/>
        </w:rPr>
      </w:pPr>
    </w:p>
    <w:p w:rsidR="003B0F5F" w:rsidRDefault="003B0F5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05AAF" w:rsidRDefault="00C05AAF" w:rsidP="00F25475">
      <w:pPr>
        <w:pStyle w:val="Zkladntext"/>
        <w:ind w:left="1410" w:hanging="1410"/>
        <w:rPr>
          <w:sz w:val="18"/>
          <w:szCs w:val="16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Default="00C32B89" w:rsidP="00C05AAF">
      <w:pPr>
        <w:jc w:val="both"/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</w:p>
    <w:sectPr w:rsidR="00C32B89" w:rsidSect="00A642BA">
      <w:headerReference w:type="default" r:id="rId9"/>
      <w:footerReference w:type="default" r:id="rId10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EC" w:rsidRDefault="008601EC" w:rsidP="00B44734">
      <w:r>
        <w:separator/>
      </w:r>
    </w:p>
  </w:endnote>
  <w:endnote w:type="continuationSeparator" w:id="0">
    <w:p w:rsidR="008601EC" w:rsidRDefault="008601EC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EC" w:rsidRDefault="008601EC" w:rsidP="00B44734">
      <w:r>
        <w:separator/>
      </w:r>
    </w:p>
  </w:footnote>
  <w:footnote w:type="continuationSeparator" w:id="0">
    <w:p w:rsidR="008601EC" w:rsidRDefault="008601EC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34"/>
    <w:rsid w:val="000074AB"/>
    <w:rsid w:val="00033EC2"/>
    <w:rsid w:val="00034150"/>
    <w:rsid w:val="0003745B"/>
    <w:rsid w:val="00081D27"/>
    <w:rsid w:val="0009631C"/>
    <w:rsid w:val="000C1EA8"/>
    <w:rsid w:val="000C2FDC"/>
    <w:rsid w:val="000C3BC0"/>
    <w:rsid w:val="000E5904"/>
    <w:rsid w:val="00104B54"/>
    <w:rsid w:val="001173AA"/>
    <w:rsid w:val="0012598C"/>
    <w:rsid w:val="00187AE6"/>
    <w:rsid w:val="001B41CE"/>
    <w:rsid w:val="001D2BAF"/>
    <w:rsid w:val="001D2F18"/>
    <w:rsid w:val="00202DE3"/>
    <w:rsid w:val="00204CC3"/>
    <w:rsid w:val="002058B7"/>
    <w:rsid w:val="00212C69"/>
    <w:rsid w:val="00226AB4"/>
    <w:rsid w:val="002315D2"/>
    <w:rsid w:val="00260B8E"/>
    <w:rsid w:val="00261CD2"/>
    <w:rsid w:val="00281D22"/>
    <w:rsid w:val="002844F7"/>
    <w:rsid w:val="00314EDA"/>
    <w:rsid w:val="00334079"/>
    <w:rsid w:val="0034624B"/>
    <w:rsid w:val="00353E4C"/>
    <w:rsid w:val="00393F22"/>
    <w:rsid w:val="00394661"/>
    <w:rsid w:val="003A0FE7"/>
    <w:rsid w:val="003B0F5F"/>
    <w:rsid w:val="003D0567"/>
    <w:rsid w:val="004070C2"/>
    <w:rsid w:val="00412110"/>
    <w:rsid w:val="004218BF"/>
    <w:rsid w:val="00436CCD"/>
    <w:rsid w:val="004712BA"/>
    <w:rsid w:val="00477AE8"/>
    <w:rsid w:val="00480548"/>
    <w:rsid w:val="004D326B"/>
    <w:rsid w:val="004F1FE9"/>
    <w:rsid w:val="0050398D"/>
    <w:rsid w:val="00505829"/>
    <w:rsid w:val="0050760A"/>
    <w:rsid w:val="00520CA8"/>
    <w:rsid w:val="00550E87"/>
    <w:rsid w:val="0055195E"/>
    <w:rsid w:val="0055541C"/>
    <w:rsid w:val="00575457"/>
    <w:rsid w:val="00576665"/>
    <w:rsid w:val="005A0E5A"/>
    <w:rsid w:val="005B01EF"/>
    <w:rsid w:val="005C2D1C"/>
    <w:rsid w:val="00625B15"/>
    <w:rsid w:val="00631069"/>
    <w:rsid w:val="00634991"/>
    <w:rsid w:val="00634D85"/>
    <w:rsid w:val="006910F0"/>
    <w:rsid w:val="006A35DE"/>
    <w:rsid w:val="006B1292"/>
    <w:rsid w:val="006B71F0"/>
    <w:rsid w:val="006C3A84"/>
    <w:rsid w:val="00716267"/>
    <w:rsid w:val="007252DF"/>
    <w:rsid w:val="007366B8"/>
    <w:rsid w:val="00740F6C"/>
    <w:rsid w:val="00761B1D"/>
    <w:rsid w:val="00765845"/>
    <w:rsid w:val="00781649"/>
    <w:rsid w:val="007A53E6"/>
    <w:rsid w:val="007B0CA1"/>
    <w:rsid w:val="0082101B"/>
    <w:rsid w:val="0084004A"/>
    <w:rsid w:val="00840392"/>
    <w:rsid w:val="00852202"/>
    <w:rsid w:val="008601EC"/>
    <w:rsid w:val="00863BDF"/>
    <w:rsid w:val="008D1529"/>
    <w:rsid w:val="008E3263"/>
    <w:rsid w:val="009361D0"/>
    <w:rsid w:val="009562F9"/>
    <w:rsid w:val="009871F4"/>
    <w:rsid w:val="009C1BD7"/>
    <w:rsid w:val="009D0823"/>
    <w:rsid w:val="00A009C3"/>
    <w:rsid w:val="00A44914"/>
    <w:rsid w:val="00A50E20"/>
    <w:rsid w:val="00A642BA"/>
    <w:rsid w:val="00A70D07"/>
    <w:rsid w:val="00A86AB3"/>
    <w:rsid w:val="00AC038F"/>
    <w:rsid w:val="00AC5ED7"/>
    <w:rsid w:val="00B3428C"/>
    <w:rsid w:val="00B40F1A"/>
    <w:rsid w:val="00B44734"/>
    <w:rsid w:val="00B810B9"/>
    <w:rsid w:val="00C05AAF"/>
    <w:rsid w:val="00C32B89"/>
    <w:rsid w:val="00C727D0"/>
    <w:rsid w:val="00C729CD"/>
    <w:rsid w:val="00CB0F20"/>
    <w:rsid w:val="00CC6A13"/>
    <w:rsid w:val="00D125FA"/>
    <w:rsid w:val="00D62DE8"/>
    <w:rsid w:val="00D9779F"/>
    <w:rsid w:val="00DC3BFE"/>
    <w:rsid w:val="00DC4AD0"/>
    <w:rsid w:val="00E254C9"/>
    <w:rsid w:val="00E54796"/>
    <w:rsid w:val="00E61DB5"/>
    <w:rsid w:val="00E90A6E"/>
    <w:rsid w:val="00EF6B7A"/>
    <w:rsid w:val="00EF78E8"/>
    <w:rsid w:val="00F22684"/>
    <w:rsid w:val="00F25475"/>
    <w:rsid w:val="00F378AB"/>
    <w:rsid w:val="00F53687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creator>Prikryl</dc:creator>
  <cp:lastModifiedBy>Pokladna</cp:lastModifiedBy>
  <cp:revision>2</cp:revision>
  <dcterms:created xsi:type="dcterms:W3CDTF">2022-04-01T07:21:00Z</dcterms:created>
  <dcterms:modified xsi:type="dcterms:W3CDTF">2022-04-01T07:21:00Z</dcterms:modified>
</cp:coreProperties>
</file>